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124" w:rsidRDefault="00385124" w:rsidP="00385124">
      <w:pPr>
        <w:shd w:val="clear" w:color="auto" w:fill="FFFFFF"/>
        <w:spacing w:after="0" w:line="240" w:lineRule="auto"/>
        <w:outlineLvl w:val="0"/>
        <w:rPr>
          <w:rFonts w:ascii="Times New Roman" w:eastAsia="Times New Roman" w:hAnsi="Times New Roman" w:cs="Times New Roman"/>
          <w:color w:val="777777"/>
          <w:kern w:val="36"/>
          <w:sz w:val="42"/>
          <w:szCs w:val="42"/>
        </w:rPr>
      </w:pPr>
      <w:bookmarkStart w:id="0" w:name="_GoBack"/>
      <w:bookmarkEnd w:id="0"/>
      <w:r w:rsidRPr="00385124">
        <w:rPr>
          <w:rFonts w:ascii="Times New Roman" w:eastAsia="Times New Roman" w:hAnsi="Times New Roman" w:cs="Times New Roman"/>
          <w:color w:val="777777"/>
          <w:kern w:val="36"/>
          <w:sz w:val="42"/>
          <w:szCs w:val="42"/>
        </w:rPr>
        <w:t>Culture and semiotics: Notes on Lotman's conception of culture</w:t>
      </w:r>
    </w:p>
    <w:p w:rsidR="00385124" w:rsidRPr="00385124" w:rsidRDefault="00385124" w:rsidP="00385124">
      <w:pPr>
        <w:shd w:val="clear" w:color="auto" w:fill="FFFFFF"/>
        <w:spacing w:after="0" w:line="240" w:lineRule="auto"/>
        <w:outlineLvl w:val="0"/>
        <w:rPr>
          <w:rFonts w:ascii="Times New Roman" w:eastAsia="Times New Roman" w:hAnsi="Times New Roman" w:cs="Times New Roman"/>
          <w:color w:val="777777"/>
          <w:kern w:val="36"/>
          <w:sz w:val="42"/>
          <w:szCs w:val="42"/>
        </w:rPr>
      </w:pPr>
    </w:p>
    <w:p w:rsidR="00385124" w:rsidRDefault="00385124" w:rsidP="00385124">
      <w:pPr>
        <w:shd w:val="clear" w:color="auto" w:fill="FFFFFF"/>
        <w:spacing w:after="0" w:line="240" w:lineRule="auto"/>
        <w:outlineLvl w:val="1"/>
        <w:rPr>
          <w:rFonts w:ascii="Times New Roman" w:eastAsia="Times New Roman" w:hAnsi="Times New Roman" w:cs="Times New Roman"/>
          <w:color w:val="777777"/>
          <w:sz w:val="36"/>
          <w:szCs w:val="36"/>
        </w:rPr>
      </w:pPr>
      <w:r w:rsidRPr="00385124">
        <w:rPr>
          <w:rFonts w:ascii="Times New Roman" w:eastAsia="Times New Roman" w:hAnsi="Times New Roman" w:cs="Times New Roman"/>
          <w:color w:val="777777"/>
          <w:sz w:val="36"/>
          <w:szCs w:val="36"/>
        </w:rPr>
        <w:t>Abstract</w:t>
      </w:r>
    </w:p>
    <w:p w:rsidR="00385124" w:rsidRPr="00385124" w:rsidRDefault="00385124" w:rsidP="00385124">
      <w:pPr>
        <w:shd w:val="clear" w:color="auto" w:fill="FFFFFF"/>
        <w:spacing w:after="0" w:line="240" w:lineRule="auto"/>
        <w:outlineLvl w:val="1"/>
        <w:rPr>
          <w:rFonts w:ascii="Times New Roman" w:eastAsia="Times New Roman" w:hAnsi="Times New Roman" w:cs="Times New Roman"/>
          <w:color w:val="777777"/>
          <w:sz w:val="36"/>
          <w:szCs w:val="36"/>
        </w:rPr>
      </w:pPr>
    </w:p>
    <w:p w:rsidR="00385124" w:rsidRPr="00385124" w:rsidRDefault="00385124" w:rsidP="00385124">
      <w:pPr>
        <w:shd w:val="clear" w:color="auto" w:fill="FFFFFF"/>
        <w:spacing w:after="0" w:line="240" w:lineRule="auto"/>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Translate [unavailable for this document]</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Yuri Lotman started as a historian of Russian literature, and he became the leading figure in the Moscow-Tartu structural-semiotic school in the 1960s. Lotman was particularly interested in the way philosophical ideas, worldviews, and social values of a given period are enacted in its literature.</w:t>
      </w:r>
    </w:p>
    <w:p w:rsidR="00385124" w:rsidRPr="00385124" w:rsidRDefault="00385124" w:rsidP="00385124">
      <w:pPr>
        <w:shd w:val="clear" w:color="auto" w:fill="FFFFFF"/>
        <w:spacing w:after="0" w:line="240" w:lineRule="auto"/>
        <w:outlineLvl w:val="1"/>
        <w:rPr>
          <w:rFonts w:ascii="Times New Roman" w:eastAsia="Times New Roman" w:hAnsi="Times New Roman" w:cs="Times New Roman"/>
          <w:color w:val="777777"/>
          <w:sz w:val="36"/>
          <w:szCs w:val="36"/>
        </w:rPr>
      </w:pPr>
      <w:r w:rsidRPr="00385124">
        <w:rPr>
          <w:rFonts w:ascii="Times New Roman" w:eastAsia="Times New Roman" w:hAnsi="Times New Roman" w:cs="Times New Roman"/>
          <w:color w:val="777777"/>
          <w:sz w:val="36"/>
          <w:szCs w:val="36"/>
        </w:rPr>
        <w:t>Full Text</w:t>
      </w:r>
    </w:p>
    <w:p w:rsidR="00385124" w:rsidRPr="00385124" w:rsidRDefault="00385124" w:rsidP="00385124">
      <w:pPr>
        <w:shd w:val="clear" w:color="auto" w:fill="FFFFFF"/>
        <w:spacing w:after="0" w:line="240" w:lineRule="auto"/>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Translate [unavailable for this document]</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YURI LOTMAN (1922-1993) started as a historian of Russian literature. The main focus of his interest in this phase of his career, after he started teaching at the University of Tartu in 1954, was the work of Alexander Radishchev, Nikolai Karamzin, and Peter Vyazemsky at the end of the eighteenth century, and the writers associated with the Decembrist movement. At this time he mastered all skills necessary for a research philologist: archival and detective techniques for tracing unknown or missing manuscripts, as well </w:t>
      </w:r>
      <w:r w:rsidRPr="00385124">
        <w:rPr>
          <w:rFonts w:ascii="Helvetica" w:eastAsia="Times New Roman" w:hAnsi="Helvetica" w:cs="Helvetica"/>
          <w:color w:val="555555"/>
          <w:sz w:val="21"/>
          <w:szCs w:val="21"/>
        </w:rPr>
        <w:lastRenderedPageBreak/>
        <w:t>as textual and editorial activities. A considerable part of his time was taken up with biographical studies concerning the aforementioned writers. He remained faithful to his interest in biography in the subsequent period, when he became the leading figure in the Moscow-Tartu structural-semiotic school in the sixties.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Even in Lotman's work of the fifties, his studies of the history of literature displayed an enormous range of subjects. From the outset, his books and essays covered the Lay of Igor's Campaign as well as classic nineteenth-century authors after (and especially including) Pushkin and Gogol; eventually he also turned to Bulgakov, Pasternak, and Brodsky. As to method in these studies: abundant facts give rise to broad typological generalizations, detailed empiricism is accompanied by abstract scientific thinking, and the focus on form and content does not clash with the interest in historical context. He assigns special significance to the philosophy and history of social thought. Lotman was particularly interested in the way philosophical ideas, worldviews, and social values of a given period are enacted in its literature. For Lotman, a period's literary and ideological consciousness, worldview, and the aesthetics of its trends and currents, have a systemic quality. These categories are not a loose conglomerate of various convictions concerning the world and literature, but a hierarchic group of cognitive, ethical, and aesthetic values. Lotman's analysis of the artistic text related both text and author to the supraindividual public sphere of a given period.</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structural semiotics stage in Lotman's career started at the beginning of the sixties. Lectures on Structural Poetics (1964) was the first significant publication of that period. It introduced the renowned series Trudy po znakovym sistemam (Works on sign systems), one of the main initiatives of the Moscow-Tartu group. This shift from traditional philology to cultural semiotics manifested itself in a change of descriptive language, namely the adoption of more unified and disciplined descriptive metalanguage. On the </w:t>
      </w:r>
      <w:r w:rsidRPr="00385124">
        <w:rPr>
          <w:rFonts w:ascii="Helvetica" w:eastAsia="Times New Roman" w:hAnsi="Helvetica" w:cs="Helvetica"/>
          <w:color w:val="555555"/>
          <w:sz w:val="21"/>
          <w:szCs w:val="21"/>
        </w:rPr>
        <w:lastRenderedPageBreak/>
        <w:t>one hand, the new, more exact language was invented to help researchers of different humanistic specialties communicate; on the other hand it made possible comparisons between various domains of human reality. There were, of course, other reasons for the change in the context of a totalitarian Soviet state: the unspoken wish to purify the humanities of socialist-realist ideological constraints, and the expressed need to give the accuracy and prestige of objective science to humanistic discourse.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In this process of creating a new descriptive language, there had been of course both Russian and foreign predecessors. The most important sources were structural linguistics (Roman Jakobson, Nikolai Trubetzkoy), the Russian formalist school (Yuri Tynjanov), the works of the Bakhtin circle, folklore studies (Vladimir Propp, Peter Bogatyrev), psychology (Lev Vygotsky), and film technique (Eisenstein). With such a variety of sources, the new language of the humanities devised by the MoscowTartu group was not without some degree of eclecticism, even of impurity. Unlike the other classic semiotic systems produced by Louis Hjelmslev or Algirdas Julian Greimas, the one which was forming in Tartu failed to produce a consistent formal network of ideas for the study of human sign-making. Although the Russian and Estonian scholars use the notions of sign, meaning, and language, they avoid detailed metasemiotic discussions. The variety of subjects taken up was to compensate for the relative scarcity of philosophical and methodological considerations.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Apart from their aversion to abstract speculations on the logical and philosophical foundations of cultural semiotics, the scholars of this group were also unwilling to associate semiotics with psychoanalysis. By contrast, attempts to relate both fields were made in France by such thinkers as Roland Bardies, Julia Kristeva, and Jacques Lacan.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With the 1993 death of Lotman as its leader, and perhaps even before, the activity of the Moscow-Tartu group came to an end. While we cannot exclude the possibility that there are still some unpublished texts to be found in Lotman's private archive, Lotman's work is complete in its main outline: an astonishing evolution over a forty-year career. The overall continuity of his interests is organically linked to his indefatigable search for new solutions. Here, selecting from his prodigious output to isolate a topic I think will be of greatest interest to readers of New Literary History, I offer some notes on Lotman's conception of culture.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Nature and Culture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antinomy nature-culture has been considered many times in the history of philosophy, philosophical anthropology, and the methodology of the humanities. Two distinct positions have emerged. The naturalistic position does not discern any substantial differences between the realms of nature and culture; the latter is reduced to the former. The other, antinaturalistic, orientation draws an impassable line between the domains of nature and culture.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Yuri Lotman, who defined culture as "the whole of uninherited information and the ways of its organization and storage,"1 was unquestionably in favor of the antinaturalistic standpoint. In the definition just quoted, there is a double emphasis: first, Lotman states that culture is information, and as such depends on human consciousness. He stresses that "objects" of culture are both subjective and conscious in character. The external world or "nature" provides material for cultural artifacts; and is also itself an object of cognition. The natural sciences themselves become significant parts of human culture. Second, Lotman also states that culture is uninherited information: not passed on by means of the genetic code. Therefore it </w:t>
      </w:r>
      <w:r w:rsidRPr="00385124">
        <w:rPr>
          <w:rFonts w:ascii="Helvetica" w:eastAsia="Times New Roman" w:hAnsi="Helvetica" w:cs="Helvetica"/>
          <w:color w:val="555555"/>
          <w:sz w:val="21"/>
          <w:szCs w:val="21"/>
        </w:rPr>
        <w:lastRenderedPageBreak/>
        <w:t>would not include instinctive behaviors, nor anything that is based on the functions of a "primary signal system" (Ivan Pavlov's term).2</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We may note that Lotman's antinaturalism was not widely accepted within the Moscow-Tartu group. Some of the other leading members tended toward naturalism. A notable example is Vyacheslav Ivanov, who often explored the genetic roots of particular sign systems, referring in his studies to zoological, especially primatological, data. Ivanov suggested that human behavior preserved numerous archaic behavioral stereotypes, inherited by humans from their ancestors/ Ivanov assumes that the fundamental mechanisms, which enable sign systems to come into existence, are inborn. The functional asymmetry of the larger cerebral hemispheres, developed in the course of anthropogenesis, seems to be one such mechanism. On the basis of just such neuroanatomy and the roles assigned to the given hemispheres, Ivanov distinguished two types of creation - one basic, one advanced, but both coexisting in the evolved human brain. Thus Ivanov bridged neurophysiology and the domain of symbolic culture. Even the creation of particular artists he attributed either to left or right hemisphere.4</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Lotman tried to avoid such nativistic snares, though he would never underestimate the role of innate factors nor ignore the data supplied by contemporary neurosemiotics. Lotman perceived the risk of reductionism in any direct association of cultural phenomena with the neurophysiological background. (One might, for heuristic purposes, draw an analogy between culture and certain facts drawn from the domain of cerebral asymmetry, but cautiously, to avoid oversimplification or vulgarization of the problem.)5</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In his last statements, less well known in the West than in Russia, Lotman modified his views on the interrelation between culture and nonculture. He questioned the existence of an absolute, impenetrable </w:t>
      </w:r>
      <w:r w:rsidRPr="00385124">
        <w:rPr>
          <w:rFonts w:ascii="Helvetica" w:eastAsia="Times New Roman" w:hAnsi="Helvetica" w:cs="Helvetica"/>
          <w:color w:val="555555"/>
          <w:sz w:val="21"/>
          <w:szCs w:val="21"/>
        </w:rPr>
        <w:lastRenderedPageBreak/>
        <w:t>boundary between the spheres, writing: "The boundaries are blurred, and defining each concrete fact as belonging to either the cultural or the noncultural sphere involves a high degree of relativity."6 Lotman came to see that the boundary is also marked within the human psyche and activity: humans are beings common to nature and culture. The boundary is continuously penetrated by noncultural elements, which simultaneously transform the sphere of culture and are themselves subject to substantial transformation. The "culturization" of elements of the natural world occurs by means of language, and more precisely through naming. Through this process parts of the natural world are "humanized" and included in some of culture's languages. Lotman described how purely physiological phenomena like sexual intercourse or consumption of alcohol become cultural phenomena when the whole network of cultural regulations and constraints has been imposed on them. Again, landscape as an object of geography has no meaning on its own, unless it enters consciousness as (for example) an object of aesthetic contemplation.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One can multiply examples to illustrate how culture absorbs parts of nonculture. The process of absorbing, ordering, and naming elements of the natural world does not contradict the original distinction between culture and nature, which still remains in power. However, this process renders the boundary between the two realms mobile and penetrable, so that contact is possible. Each of these spheres has its own unchanging features. Continuity, reproductivity, and infinity are characteristic of nature. These are characteristic of humans as biological creatures, but we are not only biological creatures. Lotman observed that the genetic code is immortal, whereas particular human beings have a finite existence. For him, there is no question of a beginning or end of nature, ruled as it is by cyclic time and periodic repetitiveness. By contrast, culture is discrete and consists of finite forms. At least, in the communities Claude Lévi-Strauss refers to as hot, culture aims at innovations and exists in linear time.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From the Notion of Secondary Modelling Systems to the Notion of Semiosphere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Moscow-Tartu group's first theoretical depiction of culture, conceived following Lotman's lead in the sixties, was closely connected to a certain version of semiotics. From the point of view of semiotics, everything which is in any way associated with meaning in fact belongs to culture, and natural language is the central operator of culture. For the Moscow-Tartu circle, natural language is taken to be a primary modelling system which contains a general picture of the world. Such a privileged position of language results from the fact that it is the most developed, most universal means of communication: the "system of systems." Language becomes the model example of systemic structure in culture; and other cultural systems, such as religion, law, science, art, folklore, and myth, are seen to have been modelled on it. Natural language is the sign system par excellence; its semiotic quality does not raise any doubts; and indeed only better suits it to the other important functions it has, as the center of mental existence, the projection of thinking, means of maintaining social bonds, and instrument of social and political activity.</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Moscow-Tartu group defines religion, art, and other domains of culture enumerated above as "secondary modelling systems," in the sense that they are both superimposed on natural language and modelled on it. Briefly, those domains are "languagelike." Lotman's own phrasing: "Those systems based on natural language which acquire additional superstructures in the shape of secondary languages may be conveniently called secondary modelling systems."7 As a consequence of this definition, secondary languages are simultaneously communication systems (they serve to get across some definite information), as well as modelling systems (they provide multiple images of the world). Therefore every modelling system has a bounded image of the world as its necessary point of reference.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In his discussion of the products of culture, Lotman frequently used three terms: model, structure, sign. He considered various aspects of the same phenomenon, for instance the artistic text, by means of these three concepts. The questions of interrelation between these terms and their ranges of meaning caused considerable confusion in debates over Lotman's proposals. Let me suggest working definitions of these concepts by referring to known distinctions in semiotics.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To continue with the example of the literary text: by calling the text "a specific model," Lotman meant that the literary work correlates with the reality beyond it and "reconstructs" the external world in a way specific to itself. The text is an unusual model, differing in many aspects from other types of models like scientific ones. The text is rendered relative to reality (we leave reality undefined, for now); it contains knowledge of the world, which it displays by means of a to-be-defined language of representation, or modelling. Following Charles Morris's train of thought from the early days of semiotics as a field, this aspect of the artistic text may be called semantic.</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artistic creation is a definite structure. It is made of something material (here, language), and is internally organized. It does not exist on its own in the world, but appears to be an islet of a vast archipelago. So, in what we may call its syntactic aspect, the literary text is a complicated tangle of internal and external relations.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artistic creation is in itself also a sign. It participates in communication between its author and the reader, and enters into relationships with the reader's world and the reader's ethical system. This dimension of the text may be called its pragmatic aspect.</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This brief unfolding of Lotman's triad shows some similarities to three traditional dimensions of semiosis, while leaving out many related questions of logic and philosophy. The next step is to connect these considerations with the distinction between natural language and secondary modelling systems. The particular role of natural language, according to Lotman, is a material model or matrix for "languagelike" secondary modelling systems. On some of these systems additional limitations, what Lotman calls "superstructures," are imposed. Poems are made of verbal material, but their words are - always already-arranged in accordance with rules from yet another system. Words are not processed one after another but one on top of the other. This is why Boris Tomashevsky once said that everything that can be found in poetry can also be found in language, except poetry itself.</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Moreover, though Lotman did not comment on this, natural language has a special place in culture by virtue of its participation in nonverbal modelling systems. Take as example the silent film, where decipherable language plays a marginal role in the film's code, appearing only in captions. (By contrast, in real-life, sounded dialogic acts, the role of language-as-speech increases enormously.) Boris Eichenbaum once observed that the reception of silent film is accompanied by internal speech: "The cinema is not a silent art, but one where no words can be heard. However, this does not mean its separation from the word as such, just as it does not involve its separation from meaning. We can guess the words when actors talk; words are conceived in the spectator's mind simultaneously with the process of frame-linking."8 Valentin Voloshinov and Mikhail Bakhtin broadened Eichenbaum's observation in their late-twenties study of Marxism and the Philosophy of Language, writing that "the word assists and comments on any ideological act. The process of cognizing any ideological phenomenon (picture, music, ritual, and act) does not take place, other than with the participation of internal speech. All remaining forms of creation, all remaining </w:t>
      </w:r>
      <w:r w:rsidRPr="00385124">
        <w:rPr>
          <w:rFonts w:ascii="Helvetica" w:eastAsia="Times New Roman" w:hAnsi="Helvetica" w:cs="Helvetica"/>
          <w:color w:val="555555"/>
          <w:sz w:val="21"/>
          <w:szCs w:val="21"/>
        </w:rPr>
        <w:lastRenderedPageBreak/>
        <w:t>nonverbal signs are immersed in the verbal element and cannot be completely separated . . . from it."9 For these Russian thinkers from the twenties to recently, language (as either internal or audible speech) can even penetrate to nonverbal spheres of culture, and can become indispensable for their existence. Language acts as the basis of secondary modelling systems, but also plays the role of universal metalanguage.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differentiation between primary and secondary modelling systems was an important step in formulating the semiotic theory of culture. Lotman examined one of the key problems: how meanings are generated in secondary modelling systems.10 He committed himself to describing numerous systems, but until midcareer most of his studies were devoted to literature.11 In later years, he began to study what we may call "sublanguage" systems, namely various everyday objects and behaviors included in multiple processes of semiosis. This was a vast sphere of phenomena which combine the functions of object, instrument, and sign. In the seventies Lotman was studying historical styles of behavior recorded in different historical sources; in doing so, he initiated a kind of historical semiotics.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As a result of painstaking research, he came up with an image of the cultural universe. At the top we can place all well-formed secondary modelling systems; at the bottom we place daily life, with its mixed and dispersed semiotics. Natural language is an intermediary between these two spheres. Paraphrasing J. L. Austin, one may say that "modelling force" varies from part to part within this universe. It is difficult to decide whether modelling force increases with movement up this scale. In the so-called high realms of culture we may encounter religious tracts and literary texts, creations endowed with enormous modelling </w:t>
      </w:r>
      <w:r w:rsidRPr="00385124">
        <w:rPr>
          <w:rFonts w:ascii="Helvetica" w:eastAsia="Times New Roman" w:hAnsi="Helvetica" w:cs="Helvetica"/>
          <w:color w:val="555555"/>
          <w:sz w:val="21"/>
          <w:szCs w:val="21"/>
        </w:rPr>
        <w:lastRenderedPageBreak/>
        <w:t>force; while in another realm we may encounter mathematical treatises, whose modelling force equals zero.</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Lotman soon realized that this model of culture, founded on a distinction between primary and secondary modelling systems, was an artifact too far removed from cultural realities.12 He admitted that the distinction had heuristic value and would prove useful in the first stage of research, since it enabled one to look round and assess the inventory of culture and its elementary grammar. However, such an approach involved a real danger when applied beyond the initial phase. Thus Lotman, in language typical of his injunctions on method: "Heuristic purposefulness (facilitation of analysis) comes to be comprehended as the ontological characteristic of the object of our studies. We attribute to it a structure which progresses from simple and well-defined atomic elements gradually to more complex ones. In this way, a complex object seemingly amounts to a sum of simple ones."13</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For this reason, in the early eighties Lotman decided to revise his approach to culture. The breakthrough took place in his treatise On Semiosphere, a work vital for the development of cultural semiotics. He began this book with the statement that his former conception of culture as a bundle of unambiguous sign systems was mistaken. In reality, all sign phenomena are immersed in a specially organized continuum: called by Lotman semiosphere.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He presented the implications of this change in the following way:</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One may regard the semiotic universe as the mosaic of single texts and alienated languages. Accordingly, the whole structure would seem to consist of separate "bricks" or elements. However, the opposite </w:t>
      </w:r>
      <w:r w:rsidRPr="00385124">
        <w:rPr>
          <w:rFonts w:ascii="Helvetica" w:eastAsia="Times New Roman" w:hAnsi="Helvetica" w:cs="Helvetica"/>
          <w:color w:val="555555"/>
          <w:sz w:val="21"/>
          <w:szCs w:val="21"/>
        </w:rPr>
        <w:lastRenderedPageBreak/>
        <w:t>approach seems to be more sensible; the whole semiotic space is seen as one mechanism, if not organism. If we take such an approach, our original idea of a primary phenomenon as a mere "brick" will be superseded by that of a large system called semiosphere. Beyond this semiotic space, i.e. semiosphere, the existence of semiosis is impossible. Neither by sticking a number of beefsteaks together will we arrive at a proper cow, nor by adding up fragmentary semiotic acts can we reconstruct the semiotic universe. Conversely, only the existence of such a universe as semiosphere can render a single sign act real. (OS 7)</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I am not in a position to analyze Lotman's profile of semiosphere in detail; here I indicate the most significant points.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First: "the notion of semiosphere is related to definite homogeneity and individuality" (OS 7). Both notions presuppose that semiosphere is separated from the external space surrounding it; hence the great importance of the notion of boundary. The role of boundary primarily consists in the fact that it acts as a special filter, a device selectively letting in texts from other culture-domains, as well as nontexts. One may say that boundary has a function of "narrow bottleneck"; that is, messages from the outside have to force their way through to become facts of a given semiosphere. To do this, they have to adapt to the conditions of a given semiosphere, in such a way that the alien may become familiar. What is external becomes internal; what is nontext becomes text.</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boundary we are discussing is usually abstract, though sometimes it may exist in real space. For example, the Roman Empire emphasized its difference, which distinguished it from the "barbarian" world. In </w:t>
      </w:r>
      <w:r w:rsidRPr="00385124">
        <w:rPr>
          <w:rFonts w:ascii="Helvetica" w:eastAsia="Times New Roman" w:hAnsi="Helvetica" w:cs="Helvetica"/>
          <w:color w:val="555555"/>
          <w:sz w:val="21"/>
          <w:szCs w:val="21"/>
        </w:rPr>
        <w:lastRenderedPageBreak/>
        <w:t>this case the boundary both connected and divided. The boundary connected because it allowed exchange between both spheres of semiosis; it divided because it stressed the Empire's difference from the rest of the world. And the rest played the role of disorganized chaotic surroundings, even a kind of anticulture. One may say that antique civilization was only able to achieve self-consciousness thanks to its construction of an image of a homogeneous barbarian world.</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Second: the internal organization of semiosphere is characterized by an advanced structural unevenness. Lotman wrote concerning the lack of predetermined order:</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 . the hierarchy of languages and texts is constantly subverted; they collide as if they existed on one level. Texts are immersed in irrelevant languages, whereas the codes to decipher them may be absent. Let us imagine a room in a museum where numerous showcases hold exhibits from different centuries with the captions in both known and unknown languages, and where there are instructions for decoding, explanatory notes on the exhibition written by specialists in methodology, plans of guided tours, and regulations for the visitors. If we placed the visitors themselves within their own semiotic world there, we would arrive at something resembling the image of semiosphere. (OS 12)</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Third: the organization of semiosphere is marked by internal heterogeneity. The organization and structuring of particular centers can vary considerably. Lotman assigns special meaning to peripheries, which are less formally organized than centers and have more flexible constructions at their disposal. Besides, peripheries are not constrained, as centers are constrained, by multiple metadescriptions (grammar systems). In this account, peripheries are considered a reservoir of innovation and a source of dynamic processes, within semiosphere.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Fourth: the particular fragments evolve in a nonsynchronic way: "The structural unevenness of semiosphere 's internal organization is . . . determined by the fact that different domains of semiosphere evolve at different speeds. More precisely, different languages have different temporal and cyclic units; natural languages evolve much more slowly than mental and ideological structures. This is why there is no question of synchronicity as far as the processes proceeding in given languages are concerned" (OS 13).</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Fifth and last: levels. According to Lotman, dialogue is the universal law which stipulates how semiosphere exists. This dialogue proceeds in different spheres, ranging from the individual's cerebral hemispheres to the cultural contact on the national and international scale (for example, between East and West) . As a consequence, semiosphere consists of levels, which range from each person's autonomous semiosphere to the overall semiosphere of the contemporary world - what used to be called the global village. According to Lotman, the larger framework has itself been getting larger, "expanding ceaselessly during the ages ... as it encompasses the signals of artificial satellites, poems and animal cries. Thus the interrelation between all the elements of semiotic space is a real fact rather than a mere metaphor" (OS 16-17).</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From Statics to Dynamics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shift, from the conception of culture as a bundle of primary and secondary modelling systems to the notion of semiosphere, is also a shift from static to dynamic thinking. If we took the former approach, culture would resemble a motionless unit made up of semiotic systems; whereas if we follow the semiospheric approach, culture takes the shape of a heterogeneous whole bustling with multiple rhythms of development and transient dominants.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Yuri Lotman began to write about cultural dynamics in the late seventies, as a result of a shift in his opinions. He dismissed the results of his earlier studies as unsatisfactory because those writings took culture as a device for storing and transferring information while ignoring its creative aspect: its capacity to generate new texts.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Lotman began by distinguishing two kinds of semiotic structures. One encompasses relatively simple structures, which use artificial languages with strictly defined syntax and vocabulary. The role of this structure is to transfer ready-made information; the point of a communication act is to carry the message from sender to receiver with the fewest possible losses and deformations. The other kind of structure works out new, or nonpredictable, messages. These are "thinking objects" like the human brain, the artistic text, or culture seen as a shared and superindividual intellect. These thinking objects are complex systems of verbal or iconic languages - defining iconic languages as those whose signs do not come in linear sequences, but rather "function as symbols similar to one another, their relationship being that of homeomorphism."14</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Thanks to this bipolar arrangement texts are intertranslatable and can be translocated. However, the translations done within the confines of this tense system are not, nor could they be, absolutely faithful due to the differences between language structures. The most one can strive for is to create certain equivalences. As Lotman put it in another publication, the most desirable "untrivial translation" would introduce the minimum possibilities of innovations and shifts in sense.15</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In Lotman's opinion, there are two contradictory tendencies at work in culture, at least as regards historical societies. On the one hand culture aims for internal variety and diversity; this is why specialized languages are multiplied and external texts incorporated. On the other hand, some integrative mechanisms are initiated in order to maintain culture's stability and unity. First and foremost, let us mention the activities which lead to the formation of various metadescriptions of culture. These autodescriptions, created with the use of special metalanguages, act as a significant component of culture itself. They introduce to it the moment of unity and peculiar over-organization. Themselves products of culture, autodescriptions can at the same time exert feedback influence. Lotman: "The system organizes itself according to a given metadescription; it rejects such elements which, from the point of view of this metadescription, should not exist, and stresses what is highlighted in the metadescription" (FK 10). Language creolization is regarded as another unifying factor. Film language, for example, is a complex blend of the language of the moving pictures, verbal language, and, optionally, the language of music. Throughout the history of the cinema these components took turns to play the main role in film art, subordinating the others.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Musing on the status of culture, Lotman observed that there is a deep rift between its actual functioning and the methods of describing it (its scientific models). Culture as such is dynamic, whereas its descriptions are static. In order to eliminate or reduce this discrepancy, Lotman pointed out a series of contradictions inherent in culture itself and suggested they should be taken into account in our descriptions.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Of the numerous contradictions to be found, Lotman distinguished several that are especially prominent.</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1. Systemic vs. nonsystemic. Descriptions of culture usually focus on the systemic and invariable elements and relations. Irrelevant nonsystemic elements are excluded from the models because idealizations, commonplace in science, should not be the source of simplifications. And this procedure usually creates static models. However, the same procedure proves a hindrance when one wants to construct dynamic models, as Lotman observed:</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process of simultaneously absorbing nonsystemic elements and expelling systemic ones from the sphere of a given system's influence is one of the main sources of dynamism in semiotic structures. If we decline to include this extra systemic sphere in our scientific descriptions, we deprive the system of its dynamic reserve; the emerging model necessarily precludes the rivalry between evolution and homeostasis. The stone which the constructors of a fully-formed and settled system reject as, from their point of view, redundant or optional becomes the foundation stone of another system.16</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What we consider extrasystemic is not tantamount to chaos. The reserve is organized in its own way to complement the system proper; the extrasystemic material displays diversity, which at a further stage may give rise to significant structural oppositions. Also, an element of another cultural system may be seen as extrasystemic; however, its existence is irrelevant to the system, just as if it did not exist.</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2. Unambiguous vs. ambivalent. Synchronic descriptions aim at revealing sharp, unambiguous contrasts. Still, no real-life system is entirely ordered. By virtue of its imperfect organization, a system takes on a certain flexibility and behavioral unpredictability. This is possible because of an internal ambivalence, thanks to various options and possibilities without any predetermined choice. As an example of ambivalence, Lotman mentions the case of the poetic text existing in several stylistic variants at the moment of </w:t>
      </w:r>
      <w:r w:rsidRPr="00385124">
        <w:rPr>
          <w:rFonts w:ascii="Helvetica" w:eastAsia="Times New Roman" w:hAnsi="Helvetica" w:cs="Helvetica"/>
          <w:color w:val="555555"/>
          <w:sz w:val="21"/>
          <w:szCs w:val="21"/>
        </w:rPr>
        <w:lastRenderedPageBreak/>
        <w:t>its creation. Once published, the originally complex text is simplified by being reduced to one received version.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Generally speaking, a rise in internal ambivalence is typical of transitional periods (which are by nature dynamic), when a system evolves from one state to another. Ambivalence would therefore mark any cultural transformations, when paradigms formerly used erode, and new ones have not yet taken shape. Lotman: "An increase in internal unambiguity can be considered as the reinforcement of homeostatic tendencies, whereas a rise in ambivalence indicates the imminent dynamic breakthrough" (DM 28-29) . One may say that the time we are now living in, which some will call postmodernism, is in fact such a transitional period. All unequivocal judgments and choices have been suspended and no rules or regulations are being observed.</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3. Nucleus vs. periphery. The antinomy presented above corresponds to the center-periphery relation in spatial terms. A center is organized in a more formal way, since it focuses culture's autodescriptive energy; autodescriptions take no notice of peripheries and act as if they do not exist. But from the evolutionary point of view, the situation appears in a different light. The relation between center and periphery is by no means absolute. Cultural dynamics consists in this fact above others: that nucleus and periphery can change places. What used to be central is now peripheral, and vice versa. Russian formalists captured this mechanism for literature, when they said that genres and forms that ruled a given period will, next and inevitably, find themselves on the margin of literature; noble genres are superseded by low genres, which have so far been peripheral.</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4. Described vs. undescribed. Once described, every phenomenon becomes a social fact. However, as Lotman says, "the sheer act of description increases the degree of a system's organization and decreases its dynamics" (DM 30). Nonetheless, there exist some uncharted, undescribed territories in culture. For this reason Lotman measures a culture's development by a side-to-side pendulum motion: from the static autodescriptions sharing one language, to those territories which are situated outside descriptions, and which use multiple individualized languages.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5. Relevant vs. redundant. This antinomy means that every sign system in culture aims at either relevance or redundancy. Lotman remarks that if we were to establish "a hierarchy of languages, from the simplest ones like the street light system at the bottom to those like art language at the top, we would be struck by the rise in redundancy" (DM 31-32). What seems to be redundant from the synchronic point of view looks utterly different from the angle of dynamics. In this light, redundancy is the necessary condition of change. Lotman was convinced that there is a close relationship between redundancy and a system's capacity for change without losing its identity. Poetic language is a good example of such a system, because it retains its identity despite continuous evolution.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Lotman's antinomies belong to the internal order of culture. All of them, each in a different degree, point to one supreme antithesis, the contrast between static and dynamic. For Lotman, real-life semiotic systems are placed somewhere between these two poles. Simple ones incline toward the former, while those with a longer history incline toward the latter. The scholar from Tartu was particularly interested in dynamic systems, whose very functioning relies on transformation. Derivation and assimilation of material from outside the system are the two processes vital for it to function. Since all semiotic systems are involved in </w:t>
      </w:r>
      <w:r w:rsidRPr="00385124">
        <w:rPr>
          <w:rFonts w:ascii="Helvetica" w:eastAsia="Times New Roman" w:hAnsi="Helvetica" w:cs="Helvetica"/>
          <w:color w:val="555555"/>
          <w:sz w:val="21"/>
          <w:szCs w:val="21"/>
        </w:rPr>
        <w:lastRenderedPageBreak/>
        <w:t>time and history, Lotman directed his attention to memory and its part in sustaining continuity of development. He differentiated many "varieties of time" as well as types of memory. Cultural dynamics assigns special importance to creative memory, marked by a certain degree of panchronicity - where all temporal layers can potentially be active. Lotman commented on this particular kind of memory: "Active or topical texts are situated in the light part of memory, whereas inactive ones do not disappear but rather fade, and enter a latent phase."17 Apparently there is no distinction between the up-to-date and the out-of-date here, or between what is still in use and what has been consigned to the scrap heap like an outmoded computer. On the contrary, this particular kind of memory preserves "the past as something that still exists. In terms of memory as a mechanism dealing with complete examples, the past is not irretrievably lost. This is why the historical approach to literature as it was originally shaped by Hegel's theory of culture and subsequently, by the positivistic theory of progress, is in fact antihistorical; it ignores the active part of memory in generating new texts" (7).</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In culture, there exist some phenomena destined to play the role of a conveyor of societal memory. Symbol is a case in point, since it acts as a kind of "condensor" of cultural memory. Lotman: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On the one hand, penetrating cultural resources, symbol operates in its invariant form; in this aspect it is repetitive. Symbol will stand out from its textual milieu as a messenger of other cultural epochs (or other cultures) and as a reminder of the primeval foundations of culture. On the other hand, symbol actively correlates with the cultural context; it transforms the context and is itself subject to transformation. Its invariant essence is reincarnated as multiple variants. Symbol's changeability manifests itself most clearly in the changes undergone by its eternal meaning in given cultural contexts.18</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Culture and Explosion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issues outlined in this essay in fact dominated Lotman's last book, Culture and Explosion. This book was not written but dictated by its author, a method of composition that results in a series of loosely connected mini-lectures, instead of one consistent argument.</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lack of progressive organization is more than compensated by the great variety of problems encountered: a semiotic encyclopedia. At first reading, the book resembles a rather chaotic medley of different subjects. For example, a chapter on sleep is next to one about the place of art among other instruments of cognition, and a meditation on fool and lunatic is followed by reflections on how there can be a "text-withinthe-text." However, despite the apparent assortment of subjects, Lotman's book conveys a pronounced leading idea, circling around the problem of cultural dynamics. The issues are looked at from different angles and put in different explanatory contexts, but the two important questions to which all segments speak are: 1) how can culture evolve without losing its identity? and 2) where do the driving forces of culture come from?</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Lotman offers new motifs in this last book. What immediately draws our attention is the stress Lotman places on the antithetic, if not ambivalent, character of culture. Seeking to capture its precarious, contradictory status, Lotman presents a series of antinomies in this order: language vs. world, collective vs. individual, evolution vs. explosion, discrete vs. dispersed, old vs. new, my own vs. the alien, the sphere of proper names vs. that of common names, and accident vs. rule. Not all of these are equally vital for his conception. Most important is the distinction between predictable and unpredictable in culture, which </w:t>
      </w:r>
      <w:r w:rsidRPr="00385124">
        <w:rPr>
          <w:rFonts w:ascii="Helvetica" w:eastAsia="Times New Roman" w:hAnsi="Helvetica" w:cs="Helvetica"/>
          <w:color w:val="555555"/>
          <w:sz w:val="21"/>
          <w:szCs w:val="21"/>
        </w:rPr>
        <w:lastRenderedPageBreak/>
        <w:t>drives apart (and elaborates) most of these warring terms. Roughly speaking, the essence of this contradiction is found in two opposed ways of viewing culture over time. There are processes of decelerated, steady evolution; and there are contrary periods of abrupt acceleration, not infrequently taking the shape of cultural explosions. In Lotman's view, periods of stabilization and "explosions" are complementary states of the same evolutionary process. The range of what is predictable embraces large-scale phenomena which are recurrent and subject to slow, often inert, gradual, and linear development. Here we could also mention cyclic or calendar-based processes, typical of archaic communities.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On the other hand, the "explosive" quality manifests itself in great historic events, epoch-making inventions and discoveries, and actions of influential individuals. In this set Lotman also included any individual extravagances, including acts of madness and extreme tyranny by such as Ivan the Terrible and Peter the Great, which could similarly change the direction of development and prompt sudden transitions from one phase to another.</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Such explosions cannot be predicted on the basis of the preceding stages of development. Accordingly, they can introduce innovations to the historical process - closing periods and precluding possibilities, but also marking out new routes, new chances for development. The unpredictable events function as a reservoir of potential stimuli that can dynamize culture. These function within the wider dynamic of culture, which Lotman calls "a singular side-to-side pendulum motion from a moment of explosion to a state of organization, built up by degrees" (KV 245).</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Such unpredictable changes can occur when the boundaries of a given system or structure are transgressed. As an example, women's emancipation, initiated in the nineteenth century and evolving into </w:t>
      </w:r>
      <w:r w:rsidRPr="00385124">
        <w:rPr>
          <w:rFonts w:ascii="Helvetica" w:eastAsia="Times New Roman" w:hAnsi="Helvetica" w:cs="Helvetica"/>
          <w:color w:val="555555"/>
          <w:sz w:val="21"/>
          <w:szCs w:val="21"/>
        </w:rPr>
        <w:lastRenderedPageBreak/>
        <w:t>twenty-first-century feminism, broke with the models of behavior assigned to women and adopted those reserved for men. The woman's condition, as well as the man's, is determined by both physiology and culture. When a woman adopts the male role, or a man the female, each exceeds the limits of predictability and generates new cultural practices.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Gradual development and sudden acceleration are complementary states in culture. The one is marked by predictability, the other by unpredictability, which introduces to history the element of free choice. The concept of unpredictability presupposes the existence of a whole set of possibilities, each of which has equal potential chances of coming true, but only one eventually does. (With hindsight, some historians claim that these unpredictable changes were bound to happen; they thus introduce to history the irrelevant notion of purpose.) Cultural explosions are brought about by internal collisions of languages, as well as by the influx of external texts.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By virtue of such explosions, the historical process in culture is essentially unpredictable. In this consists its ability to deliver information. Not until it is reconstructed in descriptions, beginning with personal memoirs and ending with monographs by professional historians, is messy history put in order. Despite Hegel's theory, the historical past is devoid of intrinsic logic, but in historians' later descriptions, what is unpredictable turns out to be regular and the only thing possible. Historical thinking conducts a retrospective transformation of the past. Lotman: "They introduce to history the notion of objectivity, which is completely alien to it" (KV 34-35).</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Culture and Explosion was the crowning achievement of Lotman's research on culture. The book cast a new light on the whole of his work, highlighting its dominant features, such as an interest in dynamic or </w:t>
      </w:r>
      <w:r w:rsidRPr="00385124">
        <w:rPr>
          <w:rFonts w:ascii="Helvetica" w:eastAsia="Times New Roman" w:hAnsi="Helvetica" w:cs="Helvetica"/>
          <w:color w:val="555555"/>
          <w:sz w:val="21"/>
          <w:szCs w:val="21"/>
        </w:rPr>
        <w:lastRenderedPageBreak/>
        <w:t>text-creating cultural mechanisms, and a preoccupation with the role of memory ("semiotic experience") in these evolutionary changes. The book confirmed Lotman's career-long antinaturalistic attitude, by stressing some unique features of semiosphere, with the autonomy of semiosphere 's evolutionary mechanisms.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Concluding Notes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Yuri Lotman's career as a theorist of culture was long and varied. He began with cultural typology in the shape of very abstract diagrams representing different kinds of culture. He also devoted considerable attention to metalanguage, postulating the need to work out a universal language to describe cultures. He insisted both on the systemic quality of culture itself and on the systemic approach in scholarship. Gradually, he diverged from the strictly language-like perception of cultural reality, and relaxed his stress on its systemic character.</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That shift in his views was reflected in the evolution of the idea of text, one of the central Moscow-Tartu concepts. At first, Lotman tended to regard the text as unchangeable, isolated, self-sufficient. In his 1970 book on the structure of the artistic text, he defined "text" as a creation internally organized and recorded in definite signs. However, in his last book Lotman considerably modified this conception, placing text in a tangle of relations between author and authence. The text was no longer a stable object possessing certain constant features; rather it was the area where the author's and the reader's points of view intersected.</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Lotman always assigned great importance to historical considerations.19 Even when conceiving deductive theoretical structures, he did not ignore the historical conditioning of semiotic systems. He never thought of language as an abstract code or a motionless sign system, but as the historical sum of a code.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During the final period of his career, Lotman devoted several special publications entirely to history and its methodology. Contemporary events significantly contributed to his preoccupation with history. Both Gorbachov's perestroïka and the fall of communism further confirmed his thesis that historical processes were unpredictable, though he never treated unfolding events solely as source of arguments or examples for his theses. He did not confine himself merely to academic problems, but spoke on television and worked in public ways to influence the course of events. He wanted Russian history to reject the circle of seemingrevolutions and the vaunted binary historical structure, and to adopt instead the ternary model of historical development typical of Western societies.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The Russian case remains profoundly unsettled. Both culture and the sciences which examine it (also part of culture) are in turmoil. The time is particularly apt to undertake an unhurried consideration of Lotman's writings.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UNIVERSITY OF GDANSK</w:t>
      </w:r>
    </w:p>
    <w:p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r w:rsidRPr="00385124">
        <w:rPr>
          <w:rFonts w:ascii="Helvetica" w:eastAsia="Times New Roman" w:hAnsi="Helvetica" w:cs="Helvetica"/>
          <w:b/>
          <w:bCs/>
          <w:color w:val="555555"/>
          <w:sz w:val="21"/>
          <w:szCs w:val="21"/>
        </w:rPr>
        <w:t>Footnote</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NOTES</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 Yuri M. Lotman, Stat'i po tipokt; ) (Articles on the typology of culture), vol. 1 (Tartu, 1970), pp. 5-6.</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2 Ivan Pavlov, Pavlovskie sredy, 3 (Moscow, 1949), 320.</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3 V. V. Ivanov, K predistorii znakovykh sistem (A prehistory of sign systems), in Materialy vsesoyuznogo simp iuma ruyushci ústemam, I (Tartu, 1974), 83- 84.</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4 See Ivanov, "Khudozhestvennoe tvorchestvo, funktsionalnaya assimetriya mozga i obraznye sposobnosti cheloveka" (Artistic creation, functional brain asymmetry, and the figurative abilities of man) , Trudy po znakovym sistemam (Works on sign systems) , 1 6 (Tartu, 1983).</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5 See Lotman, "Assimetriya i dialog" (Asymmetry and dialogue), Trudy po znakovym sistemam, 16 (1983).</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6 Lotman, Kul'tura i vzryv (Culture and explosion) (Moscow, 1992), pp. 44-45; hereafter cited in text as KV.</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7 Lotman, "Iskusstvo ? riadu modeliruyushchikh sistem: tezisy k problème" (Art in the set of modelling systems; theses on the problem), Trudy po znakovym sistemam, 3 (1967), 130.</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8 Boris Eikhenbaum, "Kvoprosu o titrakh" (On captions), Kino, 49 (Leningrad, 1926), 7 dekabria.</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9 V. N. Voloshinov and M. M. Bakhtin, Marksizm i filosofiya yazyka: osnovnye pre sotsiologicheskogo metoda ? nauke oyazyke (Leningrad, 1930), p. 19; in English as Marxism and the Philosophy of Language: The Main Problems of Sociological Method in Linguistics, tr. Ladislav Matejka and I. R. Titunik (New York, 1973; rpt. Cambridge, Mass., 1986).</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10 See Lotman, "O problème znacheniy vo vtorichnykh modeliruyushchikh sistemakh," Trudy po znakovym sistemam, 2 (1965); in English as "The Problem of Meaning in Secondary Modelling Systems," New Literary History, 8 (1977), 22-37.</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11 The fundamental publication from this field is Lotman's Strukt wennogo teksta (Moscow, 1970); in English as The Structure of the Artistic Text, tr. Ronald Vroon and GailVroon (Ann Arbor, 1977).</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12 See Lotman, "O sootnoshenii pervichnogo i vtorichnogo ? kommunikativno-modeliruyushchikh sistemakh" (The relationship of the primary and secondary in communication modelling systems), in Ma iuma, I.</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13 See Lotman, "O semiosfere" (On semiosphere), Trudy po znakovym sistemata, 17 (1984); hereafter cited in text as OS. For an extended English version, see Lotman, Universe of the Mind: A Semiotic Theory of Culture, tr. Ann Shukman, intr. Umberto Eco (New York, 1990).</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14 Lotman, "Fenomen kultury" (Phenomenon of culture), Trudy po znakovym sistemam, 10 (1978), 6; hereafter cited in text as FK</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15 Lotman expanded on this phenomenon in his article, "Mozg - Tekst - Kul'tura - Isskustvennyy Intellekt" (Brain - Text - Culture - Artificial Intellect), in Semiotika i inforh (Moscow, 1981).</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16 Lotman, "Dinamicheskaya model' semioticheskoysistemy," Trudy po znakovym sistemam, 10 (1978), 21; hereafter cited in text as DM.</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17 Lotman, "Pamiat' ? kul'turologicheskom osveshchenii" (The memory in the light of culturology) , Wiener Slawistischer Almanack, 16 (1985), 6; hereafter cited in text.</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18 Lotman, "Simvol ? sisteme kultury" (Symbol in the system of culture), Trudy po am, 21 (1987), 12.</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19 What was striking on this account was the telling title of volume 25 of Trudy po znakovym sistemam (Works on sign systems), namely Semiotika i istoriya (Semiotics and history [1992]). In his foreword Lotman stated, "Semiotics has changed over the recent decades. Combining it with history has been one of the hard-won achievements. Thanks to this fact, historical cognition is now inseparable from semiotics and vice versa" (3). Lotman also observed à propos the early 1990s, "The fusion of history and semiotics confronts us with the necessity to revise such fundamental notions as cause-and-effect sequence. The revolutionary changes in scientific thinking we are now experiencing and the social revolution are by no means contradictory. On the contrary, there is a profound, though not explicit, connection between them" (4).</w:t>
      </w:r>
    </w:p>
    <w:p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r w:rsidRPr="00385124">
        <w:rPr>
          <w:rFonts w:ascii="Helvetica" w:eastAsia="Times New Roman" w:hAnsi="Helvetica" w:cs="Helvetica"/>
          <w:b/>
          <w:bCs/>
          <w:color w:val="555555"/>
          <w:sz w:val="21"/>
          <w:szCs w:val="21"/>
        </w:rPr>
        <w:t>AuthorAffiliation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Boguslaw Zylko*</w:t>
      </w:r>
    </w:p>
    <w:p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r w:rsidRPr="00385124">
        <w:rPr>
          <w:rFonts w:ascii="Helvetica" w:eastAsia="Times New Roman" w:hAnsi="Helvetica" w:cs="Helvetica"/>
          <w:b/>
          <w:bCs/>
          <w:color w:val="555555"/>
          <w:sz w:val="21"/>
          <w:szCs w:val="21"/>
        </w:rPr>
        <w:t>AuthorAffiliation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I would like to thank Professor Donald Wesling from the University of California, San Diego, for his valuable suggestions and all stylistic amendments made to my essay.</w:t>
      </w:r>
    </w:p>
    <w:p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r w:rsidRPr="00385124">
        <w:rPr>
          <w:rFonts w:ascii="Helvetica" w:eastAsia="Times New Roman" w:hAnsi="Helvetica" w:cs="Helvetica"/>
          <w:b/>
          <w:bCs/>
          <w:color w:val="555555"/>
          <w:sz w:val="21"/>
          <w:szCs w:val="21"/>
        </w:rPr>
        <w:t>AuthorAffiliation</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BOGUSLAW ZYLKO is Professor of Philosophy at the University of Gdansk. His books include Semiotyka dziejów Rosji (Semiotics of the history of Russia [1993]); Michail Bachtin. Wkregu fibzofiijezyka i literatury (Mikhail Bakhtin: In the circle of philosophy of language and literature [1994]); and numerous articles on twentieth century cultural studies. He is currently completing a book on the history of Russian literary criticism from the Russian Formalist School to the Moscow-Tartu Group.</w:t>
      </w:r>
    </w:p>
    <w:p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Word count: </w:t>
      </w:r>
      <w:r w:rsidRPr="00385124">
        <w:rPr>
          <w:rFonts w:ascii="Helvetica" w:eastAsia="Times New Roman" w:hAnsi="Helvetica" w:cs="Helvetica"/>
          <w:b/>
          <w:bCs/>
          <w:color w:val="555555"/>
          <w:sz w:val="21"/>
          <w:szCs w:val="21"/>
        </w:rPr>
        <w:t>7592</w:t>
      </w:r>
    </w:p>
    <w:p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Copyright Johns Hopkins University Press Spring 200</w:t>
      </w:r>
    </w:p>
    <w:p w:rsidR="00575618" w:rsidRDefault="00575618"/>
    <w:sectPr w:rsidR="00575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64548"/>
    <w:multiLevelType w:val="multilevel"/>
    <w:tmpl w:val="1CB0D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124"/>
    <w:rsid w:val="00385124"/>
    <w:rsid w:val="00575618"/>
    <w:rsid w:val="00787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0CF9C-B81F-4F58-92C6-FF7A9F19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851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851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12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85124"/>
    <w:rPr>
      <w:rFonts w:ascii="Times New Roman" w:eastAsia="Times New Roman" w:hAnsi="Times New Roman" w:cs="Times New Roman"/>
      <w:b/>
      <w:bCs/>
      <w:sz w:val="36"/>
      <w:szCs w:val="36"/>
    </w:rPr>
  </w:style>
  <w:style w:type="character" w:customStyle="1" w:styleId="titleauthoretc">
    <w:name w:val="titleauthoretc"/>
    <w:basedOn w:val="DefaultParagraphFont"/>
    <w:rsid w:val="00385124"/>
  </w:style>
  <w:style w:type="character" w:styleId="Hyperlink">
    <w:name w:val="Hyperlink"/>
    <w:basedOn w:val="DefaultParagraphFont"/>
    <w:uiPriority w:val="99"/>
    <w:semiHidden/>
    <w:unhideWhenUsed/>
    <w:rsid w:val="00385124"/>
    <w:rPr>
      <w:color w:val="0000FF"/>
      <w:u w:val="single"/>
    </w:rPr>
  </w:style>
  <w:style w:type="character" w:customStyle="1" w:styleId="apple-converted-space">
    <w:name w:val="apple-converted-space"/>
    <w:basedOn w:val="DefaultParagraphFont"/>
    <w:rsid w:val="00385124"/>
  </w:style>
  <w:style w:type="character" w:styleId="Strong">
    <w:name w:val="Strong"/>
    <w:basedOn w:val="DefaultParagraphFont"/>
    <w:uiPriority w:val="22"/>
    <w:qFormat/>
    <w:rsid w:val="00385124"/>
    <w:rPr>
      <w:b/>
      <w:bCs/>
    </w:rPr>
  </w:style>
  <w:style w:type="paragraph" w:styleId="NormalWeb">
    <w:name w:val="Normal (Web)"/>
    <w:basedOn w:val="Normal"/>
    <w:uiPriority w:val="99"/>
    <w:semiHidden/>
    <w:unhideWhenUsed/>
    <w:rsid w:val="003851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480462">
      <w:bodyDiv w:val="1"/>
      <w:marLeft w:val="0"/>
      <w:marRight w:val="0"/>
      <w:marTop w:val="0"/>
      <w:marBottom w:val="0"/>
      <w:divBdr>
        <w:top w:val="none" w:sz="0" w:space="0" w:color="auto"/>
        <w:left w:val="none" w:sz="0" w:space="0" w:color="auto"/>
        <w:bottom w:val="none" w:sz="0" w:space="0" w:color="auto"/>
        <w:right w:val="none" w:sz="0" w:space="0" w:color="auto"/>
      </w:divBdr>
      <w:divsChild>
        <w:div w:id="846403100">
          <w:marLeft w:val="0"/>
          <w:marRight w:val="0"/>
          <w:marTop w:val="0"/>
          <w:marBottom w:val="0"/>
          <w:divBdr>
            <w:top w:val="none" w:sz="0" w:space="0" w:color="auto"/>
            <w:left w:val="none" w:sz="0" w:space="0" w:color="auto"/>
            <w:bottom w:val="none" w:sz="0" w:space="0" w:color="auto"/>
            <w:right w:val="none" w:sz="0" w:space="0" w:color="auto"/>
          </w:divBdr>
          <w:divsChild>
            <w:div w:id="146288815">
              <w:marLeft w:val="0"/>
              <w:marRight w:val="0"/>
              <w:marTop w:val="0"/>
              <w:marBottom w:val="0"/>
              <w:divBdr>
                <w:top w:val="none" w:sz="0" w:space="0" w:color="auto"/>
                <w:left w:val="none" w:sz="0" w:space="0" w:color="auto"/>
                <w:bottom w:val="none" w:sz="0" w:space="0" w:color="auto"/>
                <w:right w:val="none" w:sz="0" w:space="0" w:color="auto"/>
              </w:divBdr>
              <w:divsChild>
                <w:div w:id="1119185634">
                  <w:marLeft w:val="-225"/>
                  <w:marRight w:val="-225"/>
                  <w:marTop w:val="0"/>
                  <w:marBottom w:val="0"/>
                  <w:divBdr>
                    <w:top w:val="none" w:sz="0" w:space="0" w:color="auto"/>
                    <w:left w:val="none" w:sz="0" w:space="0" w:color="auto"/>
                    <w:bottom w:val="none" w:sz="0" w:space="0" w:color="auto"/>
                    <w:right w:val="none" w:sz="0" w:space="0" w:color="auto"/>
                  </w:divBdr>
                  <w:divsChild>
                    <w:div w:id="1127309202">
                      <w:marLeft w:val="0"/>
                      <w:marRight w:val="0"/>
                      <w:marTop w:val="0"/>
                      <w:marBottom w:val="0"/>
                      <w:divBdr>
                        <w:top w:val="none" w:sz="0" w:space="0" w:color="auto"/>
                        <w:left w:val="none" w:sz="0" w:space="0" w:color="auto"/>
                        <w:bottom w:val="none" w:sz="0" w:space="0" w:color="auto"/>
                        <w:right w:val="none" w:sz="0" w:space="0" w:color="auto"/>
                      </w:divBdr>
                    </w:div>
                    <w:div w:id="117265282">
                      <w:marLeft w:val="0"/>
                      <w:marRight w:val="0"/>
                      <w:marTop w:val="0"/>
                      <w:marBottom w:val="0"/>
                      <w:divBdr>
                        <w:top w:val="none" w:sz="0" w:space="0" w:color="auto"/>
                        <w:left w:val="none" w:sz="0" w:space="0" w:color="auto"/>
                        <w:bottom w:val="none" w:sz="0" w:space="0" w:color="auto"/>
                        <w:right w:val="none" w:sz="0" w:space="0" w:color="auto"/>
                      </w:divBdr>
                    </w:div>
                    <w:div w:id="1308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92078">
          <w:marLeft w:val="0"/>
          <w:marRight w:val="0"/>
          <w:marTop w:val="300"/>
          <w:marBottom w:val="0"/>
          <w:divBdr>
            <w:top w:val="none" w:sz="0" w:space="0" w:color="auto"/>
            <w:left w:val="none" w:sz="0" w:space="0" w:color="auto"/>
            <w:bottom w:val="none" w:sz="0" w:space="0" w:color="auto"/>
            <w:right w:val="none" w:sz="0" w:space="0" w:color="auto"/>
          </w:divBdr>
          <w:divsChild>
            <w:div w:id="566840183">
              <w:marLeft w:val="0"/>
              <w:marRight w:val="0"/>
              <w:marTop w:val="0"/>
              <w:marBottom w:val="0"/>
              <w:divBdr>
                <w:top w:val="none" w:sz="0" w:space="0" w:color="auto"/>
                <w:left w:val="none" w:sz="0" w:space="0" w:color="auto"/>
                <w:bottom w:val="none" w:sz="0" w:space="0" w:color="auto"/>
                <w:right w:val="none" w:sz="0" w:space="0" w:color="auto"/>
              </w:divBdr>
              <w:divsChild>
                <w:div w:id="893851597">
                  <w:marLeft w:val="0"/>
                  <w:marRight w:val="0"/>
                  <w:marTop w:val="0"/>
                  <w:marBottom w:val="0"/>
                  <w:divBdr>
                    <w:top w:val="none" w:sz="0" w:space="0" w:color="auto"/>
                    <w:left w:val="none" w:sz="0" w:space="0" w:color="auto"/>
                    <w:bottom w:val="none" w:sz="0" w:space="0" w:color="auto"/>
                    <w:right w:val="none" w:sz="0" w:space="0" w:color="auto"/>
                  </w:divBdr>
                  <w:divsChild>
                    <w:div w:id="12730634">
                      <w:marLeft w:val="0"/>
                      <w:marRight w:val="0"/>
                      <w:marTop w:val="0"/>
                      <w:marBottom w:val="0"/>
                      <w:divBdr>
                        <w:top w:val="none" w:sz="0" w:space="0" w:color="auto"/>
                        <w:left w:val="none" w:sz="0" w:space="0" w:color="auto"/>
                        <w:bottom w:val="none" w:sz="0" w:space="0" w:color="auto"/>
                        <w:right w:val="none" w:sz="0" w:space="0" w:color="auto"/>
                      </w:divBdr>
                      <w:divsChild>
                        <w:div w:id="216160889">
                          <w:marLeft w:val="0"/>
                          <w:marRight w:val="0"/>
                          <w:marTop w:val="0"/>
                          <w:marBottom w:val="0"/>
                          <w:divBdr>
                            <w:top w:val="none" w:sz="0" w:space="0" w:color="auto"/>
                            <w:left w:val="none" w:sz="0" w:space="0" w:color="auto"/>
                            <w:bottom w:val="none" w:sz="0" w:space="0" w:color="auto"/>
                            <w:right w:val="none" w:sz="0" w:space="0" w:color="auto"/>
                          </w:divBdr>
                          <w:divsChild>
                            <w:div w:id="2089962571">
                              <w:marLeft w:val="0"/>
                              <w:marRight w:val="0"/>
                              <w:marTop w:val="0"/>
                              <w:marBottom w:val="0"/>
                              <w:divBdr>
                                <w:top w:val="none" w:sz="0" w:space="0" w:color="auto"/>
                                <w:left w:val="none" w:sz="0" w:space="0" w:color="auto"/>
                                <w:bottom w:val="none" w:sz="0" w:space="0" w:color="auto"/>
                                <w:right w:val="none" w:sz="0" w:space="0" w:color="auto"/>
                              </w:divBdr>
                              <w:divsChild>
                                <w:div w:id="1791243036">
                                  <w:marLeft w:val="0"/>
                                  <w:marRight w:val="0"/>
                                  <w:marTop w:val="0"/>
                                  <w:marBottom w:val="0"/>
                                  <w:divBdr>
                                    <w:top w:val="none" w:sz="0" w:space="0" w:color="auto"/>
                                    <w:left w:val="none" w:sz="0" w:space="0" w:color="auto"/>
                                    <w:bottom w:val="none" w:sz="0" w:space="0" w:color="auto"/>
                                    <w:right w:val="none" w:sz="0" w:space="0" w:color="auto"/>
                                  </w:divBdr>
                                  <w:divsChild>
                                    <w:div w:id="1567105114">
                                      <w:marLeft w:val="0"/>
                                      <w:marRight w:val="0"/>
                                      <w:marTop w:val="0"/>
                                      <w:marBottom w:val="0"/>
                                      <w:divBdr>
                                        <w:top w:val="none" w:sz="0" w:space="0" w:color="auto"/>
                                        <w:left w:val="none" w:sz="0" w:space="0" w:color="auto"/>
                                        <w:bottom w:val="none" w:sz="0" w:space="0" w:color="auto"/>
                                        <w:right w:val="none" w:sz="0" w:space="0" w:color="auto"/>
                                      </w:divBdr>
                                    </w:div>
                                    <w:div w:id="893540941">
                                      <w:marLeft w:val="150"/>
                                      <w:marRight w:val="0"/>
                                      <w:marTop w:val="150"/>
                                      <w:marBottom w:val="0"/>
                                      <w:divBdr>
                                        <w:top w:val="none" w:sz="0" w:space="0" w:color="auto"/>
                                        <w:left w:val="none" w:sz="0" w:space="0" w:color="auto"/>
                                        <w:bottom w:val="none" w:sz="0" w:space="0" w:color="auto"/>
                                        <w:right w:val="none" w:sz="0" w:space="0" w:color="auto"/>
                                      </w:divBdr>
                                    </w:div>
                                  </w:divsChild>
                                </w:div>
                                <w:div w:id="1549683026">
                                  <w:marLeft w:val="0"/>
                                  <w:marRight w:val="0"/>
                                  <w:marTop w:val="75"/>
                                  <w:marBottom w:val="0"/>
                                  <w:divBdr>
                                    <w:top w:val="none" w:sz="0" w:space="0" w:color="auto"/>
                                    <w:left w:val="none" w:sz="0" w:space="0" w:color="auto"/>
                                    <w:bottom w:val="none" w:sz="0" w:space="0" w:color="auto"/>
                                    <w:right w:val="none" w:sz="0" w:space="0" w:color="auto"/>
                                  </w:divBdr>
                                  <w:divsChild>
                                    <w:div w:id="317417108">
                                      <w:marLeft w:val="0"/>
                                      <w:marRight w:val="0"/>
                                      <w:marTop w:val="0"/>
                                      <w:marBottom w:val="0"/>
                                      <w:divBdr>
                                        <w:top w:val="none" w:sz="0" w:space="0" w:color="auto"/>
                                        <w:left w:val="none" w:sz="0" w:space="0" w:color="auto"/>
                                        <w:bottom w:val="none" w:sz="0" w:space="0" w:color="auto"/>
                                        <w:right w:val="none" w:sz="0" w:space="0" w:color="auto"/>
                                      </w:divBdr>
                                      <w:divsChild>
                                        <w:div w:id="163147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51230">
                              <w:marLeft w:val="0"/>
                              <w:marRight w:val="0"/>
                              <w:marTop w:val="0"/>
                              <w:marBottom w:val="0"/>
                              <w:divBdr>
                                <w:top w:val="none" w:sz="0" w:space="0" w:color="auto"/>
                                <w:left w:val="none" w:sz="0" w:space="0" w:color="auto"/>
                                <w:bottom w:val="none" w:sz="0" w:space="0" w:color="auto"/>
                                <w:right w:val="none" w:sz="0" w:space="0" w:color="auto"/>
                              </w:divBdr>
                              <w:divsChild>
                                <w:div w:id="1723823925">
                                  <w:marLeft w:val="0"/>
                                  <w:marRight w:val="0"/>
                                  <w:marTop w:val="0"/>
                                  <w:marBottom w:val="0"/>
                                  <w:divBdr>
                                    <w:top w:val="none" w:sz="0" w:space="0" w:color="auto"/>
                                    <w:left w:val="none" w:sz="0" w:space="0" w:color="auto"/>
                                    <w:bottom w:val="none" w:sz="0" w:space="0" w:color="auto"/>
                                    <w:right w:val="none" w:sz="0" w:space="0" w:color="auto"/>
                                  </w:divBdr>
                                </w:div>
                                <w:div w:id="535435916">
                                  <w:marLeft w:val="150"/>
                                  <w:marRight w:val="0"/>
                                  <w:marTop w:val="150"/>
                                  <w:marBottom w:val="0"/>
                                  <w:divBdr>
                                    <w:top w:val="none" w:sz="0" w:space="0" w:color="auto"/>
                                    <w:left w:val="none" w:sz="0" w:space="0" w:color="auto"/>
                                    <w:bottom w:val="none" w:sz="0" w:space="0" w:color="auto"/>
                                    <w:right w:val="none" w:sz="0" w:space="0" w:color="auto"/>
                                  </w:divBdr>
                                </w:div>
                              </w:divsChild>
                            </w:div>
                            <w:div w:id="1396197251">
                              <w:marLeft w:val="0"/>
                              <w:marRight w:val="0"/>
                              <w:marTop w:val="0"/>
                              <w:marBottom w:val="0"/>
                              <w:divBdr>
                                <w:top w:val="none" w:sz="0" w:space="0" w:color="auto"/>
                                <w:left w:val="none" w:sz="0" w:space="0" w:color="auto"/>
                                <w:bottom w:val="none" w:sz="0" w:space="0" w:color="auto"/>
                                <w:right w:val="none" w:sz="0" w:space="0" w:color="auto"/>
                              </w:divBdr>
                              <w:divsChild>
                                <w:div w:id="915673618">
                                  <w:marLeft w:val="0"/>
                                  <w:marRight w:val="0"/>
                                  <w:marTop w:val="75"/>
                                  <w:marBottom w:val="0"/>
                                  <w:divBdr>
                                    <w:top w:val="none" w:sz="0" w:space="0" w:color="auto"/>
                                    <w:left w:val="none" w:sz="0" w:space="0" w:color="auto"/>
                                    <w:bottom w:val="none" w:sz="0" w:space="0" w:color="auto"/>
                                    <w:right w:val="none" w:sz="0" w:space="0" w:color="auto"/>
                                  </w:divBdr>
                                  <w:divsChild>
                                    <w:div w:id="1057123701">
                                      <w:marLeft w:val="0"/>
                                      <w:marRight w:val="0"/>
                                      <w:marTop w:val="0"/>
                                      <w:marBottom w:val="0"/>
                                      <w:divBdr>
                                        <w:top w:val="none" w:sz="0" w:space="0" w:color="auto"/>
                                        <w:left w:val="none" w:sz="0" w:space="0" w:color="auto"/>
                                        <w:bottom w:val="none" w:sz="0" w:space="0" w:color="auto"/>
                                        <w:right w:val="none" w:sz="0" w:space="0" w:color="auto"/>
                                      </w:divBdr>
                                      <w:divsChild>
                                        <w:div w:id="570889739">
                                          <w:marLeft w:val="0"/>
                                          <w:marRight w:val="0"/>
                                          <w:marTop w:val="0"/>
                                          <w:marBottom w:val="0"/>
                                          <w:divBdr>
                                            <w:top w:val="none" w:sz="0" w:space="0" w:color="auto"/>
                                            <w:left w:val="none" w:sz="0" w:space="0" w:color="auto"/>
                                            <w:bottom w:val="none" w:sz="0" w:space="0" w:color="auto"/>
                                            <w:right w:val="none" w:sz="0" w:space="0" w:color="auto"/>
                                          </w:divBdr>
                                          <w:divsChild>
                                            <w:div w:id="1508180214">
                                              <w:marLeft w:val="0"/>
                                              <w:marRight w:val="0"/>
                                              <w:marTop w:val="0"/>
                                              <w:marBottom w:val="0"/>
                                              <w:divBdr>
                                                <w:top w:val="none" w:sz="0" w:space="0" w:color="auto"/>
                                                <w:left w:val="none" w:sz="0" w:space="0" w:color="auto"/>
                                                <w:bottom w:val="none" w:sz="0" w:space="0" w:color="auto"/>
                                                <w:right w:val="none" w:sz="0" w:space="0" w:color="auto"/>
                                              </w:divBdr>
                                              <w:divsChild>
                                                <w:div w:id="1783305889">
                                                  <w:marLeft w:val="0"/>
                                                  <w:marRight w:val="0"/>
                                                  <w:marTop w:val="0"/>
                                                  <w:marBottom w:val="0"/>
                                                  <w:divBdr>
                                                    <w:top w:val="none" w:sz="0" w:space="0" w:color="auto"/>
                                                    <w:left w:val="none" w:sz="0" w:space="0" w:color="auto"/>
                                                    <w:bottom w:val="none" w:sz="0" w:space="0" w:color="auto"/>
                                                    <w:right w:val="none" w:sz="0" w:space="0" w:color="auto"/>
                                                  </w:divBdr>
                                                </w:div>
                                                <w:div w:id="796098278">
                                                  <w:marLeft w:val="0"/>
                                                  <w:marRight w:val="0"/>
                                                  <w:marTop w:val="0"/>
                                                  <w:marBottom w:val="0"/>
                                                  <w:divBdr>
                                                    <w:top w:val="none" w:sz="0" w:space="0" w:color="auto"/>
                                                    <w:left w:val="none" w:sz="0" w:space="0" w:color="auto"/>
                                                    <w:bottom w:val="none" w:sz="0" w:space="0" w:color="auto"/>
                                                    <w:right w:val="none" w:sz="0" w:space="0" w:color="auto"/>
                                                  </w:divBdr>
                                                  <w:divsChild>
                                                    <w:div w:id="82766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3208">
                                              <w:marLeft w:val="0"/>
                                              <w:marRight w:val="0"/>
                                              <w:marTop w:val="0"/>
                                              <w:marBottom w:val="0"/>
                                              <w:divBdr>
                                                <w:top w:val="none" w:sz="0" w:space="0" w:color="auto"/>
                                                <w:left w:val="none" w:sz="0" w:space="0" w:color="auto"/>
                                                <w:bottom w:val="none" w:sz="0" w:space="0" w:color="auto"/>
                                                <w:right w:val="none" w:sz="0" w:space="0" w:color="auto"/>
                                              </w:divBdr>
                                              <w:divsChild>
                                                <w:div w:id="1645693734">
                                                  <w:marLeft w:val="0"/>
                                                  <w:marRight w:val="0"/>
                                                  <w:marTop w:val="0"/>
                                                  <w:marBottom w:val="0"/>
                                                  <w:divBdr>
                                                    <w:top w:val="none" w:sz="0" w:space="0" w:color="auto"/>
                                                    <w:left w:val="none" w:sz="0" w:space="0" w:color="auto"/>
                                                    <w:bottom w:val="none" w:sz="0" w:space="0" w:color="auto"/>
                                                    <w:right w:val="none" w:sz="0" w:space="0" w:color="auto"/>
                                                  </w:divBdr>
                                                </w:div>
                                                <w:div w:id="1919510743">
                                                  <w:marLeft w:val="0"/>
                                                  <w:marRight w:val="0"/>
                                                  <w:marTop w:val="0"/>
                                                  <w:marBottom w:val="0"/>
                                                  <w:divBdr>
                                                    <w:top w:val="none" w:sz="0" w:space="0" w:color="auto"/>
                                                    <w:left w:val="none" w:sz="0" w:space="0" w:color="auto"/>
                                                    <w:bottom w:val="none" w:sz="0" w:space="0" w:color="auto"/>
                                                    <w:right w:val="none" w:sz="0" w:space="0" w:color="auto"/>
                                                  </w:divBdr>
                                                  <w:divsChild>
                                                    <w:div w:id="30763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599022">
                                              <w:marLeft w:val="0"/>
                                              <w:marRight w:val="0"/>
                                              <w:marTop w:val="0"/>
                                              <w:marBottom w:val="0"/>
                                              <w:divBdr>
                                                <w:top w:val="none" w:sz="0" w:space="0" w:color="auto"/>
                                                <w:left w:val="none" w:sz="0" w:space="0" w:color="auto"/>
                                                <w:bottom w:val="none" w:sz="0" w:space="0" w:color="auto"/>
                                                <w:right w:val="none" w:sz="0" w:space="0" w:color="auto"/>
                                              </w:divBdr>
                                              <w:divsChild>
                                                <w:div w:id="2033797726">
                                                  <w:marLeft w:val="0"/>
                                                  <w:marRight w:val="0"/>
                                                  <w:marTop w:val="0"/>
                                                  <w:marBottom w:val="0"/>
                                                  <w:divBdr>
                                                    <w:top w:val="none" w:sz="0" w:space="0" w:color="auto"/>
                                                    <w:left w:val="none" w:sz="0" w:space="0" w:color="auto"/>
                                                    <w:bottom w:val="none" w:sz="0" w:space="0" w:color="auto"/>
                                                    <w:right w:val="none" w:sz="0" w:space="0" w:color="auto"/>
                                                  </w:divBdr>
                                                </w:div>
                                                <w:div w:id="2048946020">
                                                  <w:marLeft w:val="0"/>
                                                  <w:marRight w:val="0"/>
                                                  <w:marTop w:val="0"/>
                                                  <w:marBottom w:val="0"/>
                                                  <w:divBdr>
                                                    <w:top w:val="none" w:sz="0" w:space="0" w:color="auto"/>
                                                    <w:left w:val="none" w:sz="0" w:space="0" w:color="auto"/>
                                                    <w:bottom w:val="none" w:sz="0" w:space="0" w:color="auto"/>
                                                    <w:right w:val="none" w:sz="0" w:space="0" w:color="auto"/>
                                                  </w:divBdr>
                                                  <w:divsChild>
                                                    <w:div w:id="1605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78931">
                                              <w:marLeft w:val="0"/>
                                              <w:marRight w:val="0"/>
                                              <w:marTop w:val="0"/>
                                              <w:marBottom w:val="0"/>
                                              <w:divBdr>
                                                <w:top w:val="none" w:sz="0" w:space="0" w:color="auto"/>
                                                <w:left w:val="none" w:sz="0" w:space="0" w:color="auto"/>
                                                <w:bottom w:val="none" w:sz="0" w:space="0" w:color="auto"/>
                                                <w:right w:val="none" w:sz="0" w:space="0" w:color="auto"/>
                                              </w:divBdr>
                                              <w:divsChild>
                                                <w:div w:id="1721005804">
                                                  <w:marLeft w:val="0"/>
                                                  <w:marRight w:val="0"/>
                                                  <w:marTop w:val="0"/>
                                                  <w:marBottom w:val="0"/>
                                                  <w:divBdr>
                                                    <w:top w:val="none" w:sz="0" w:space="0" w:color="auto"/>
                                                    <w:left w:val="none" w:sz="0" w:space="0" w:color="auto"/>
                                                    <w:bottom w:val="none" w:sz="0" w:space="0" w:color="auto"/>
                                                    <w:right w:val="none" w:sz="0" w:space="0" w:color="auto"/>
                                                  </w:divBdr>
                                                </w:div>
                                                <w:div w:id="1285499847">
                                                  <w:marLeft w:val="0"/>
                                                  <w:marRight w:val="0"/>
                                                  <w:marTop w:val="0"/>
                                                  <w:marBottom w:val="0"/>
                                                  <w:divBdr>
                                                    <w:top w:val="none" w:sz="0" w:space="0" w:color="auto"/>
                                                    <w:left w:val="none" w:sz="0" w:space="0" w:color="auto"/>
                                                    <w:bottom w:val="none" w:sz="0" w:space="0" w:color="auto"/>
                                                    <w:right w:val="none" w:sz="0" w:space="0" w:color="auto"/>
                                                  </w:divBdr>
                                                  <w:divsChild>
                                                    <w:div w:id="14972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93905">
                                              <w:marLeft w:val="0"/>
                                              <w:marRight w:val="0"/>
                                              <w:marTop w:val="0"/>
                                              <w:marBottom w:val="0"/>
                                              <w:divBdr>
                                                <w:top w:val="none" w:sz="0" w:space="0" w:color="auto"/>
                                                <w:left w:val="none" w:sz="0" w:space="0" w:color="auto"/>
                                                <w:bottom w:val="none" w:sz="0" w:space="0" w:color="auto"/>
                                                <w:right w:val="none" w:sz="0" w:space="0" w:color="auto"/>
                                              </w:divBdr>
                                              <w:divsChild>
                                                <w:div w:id="34722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7491</Words>
  <Characters>42702</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Legg, Olga</dc:creator>
  <cp:keywords/>
  <dc:description/>
  <cp:lastModifiedBy>Legg, Olga</cp:lastModifiedBy>
  <cp:revision>2</cp:revision>
  <dcterms:created xsi:type="dcterms:W3CDTF">2018-05-21T19:56:00Z</dcterms:created>
  <dcterms:modified xsi:type="dcterms:W3CDTF">2018-05-21T19:56:00Z</dcterms:modified>
</cp:coreProperties>
</file>